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98328A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180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21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9B4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921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EB6700" w:rsidRPr="004A3EBF" w:rsidRDefault="00EB6700" w:rsidP="00EB6700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3E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U.S. Senate Slated To Consider Six Month Spending Bill </w:t>
                  </w:r>
                </w:p>
                <w:p w:rsidR="00E967EA" w:rsidRPr="00E967EA" w:rsidRDefault="00E967EA" w:rsidP="00EB6700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4A3EBF" w:rsidRPr="004A3EBF" w:rsidRDefault="004A3EBF" w:rsidP="004A3EBF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U.S. Senate Slated To Consider Six Month Spending Bill </w:t>
            </w:r>
          </w:p>
          <w:p w:rsidR="004A3EBF" w:rsidRPr="004A3EBF" w:rsidRDefault="004A3EBF" w:rsidP="004A3EB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A3EBF" w:rsidRDefault="004A3EBF" w:rsidP="004A3EB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A3EBF">
              <w:rPr>
                <w:rFonts w:ascii="Arial" w:hAnsi="Arial" w:cs="Arial"/>
                <w:sz w:val="20"/>
                <w:szCs w:val="20"/>
              </w:rPr>
              <w:t xml:space="preserve">Late tonight, the United States Senate is slated to approve a six month </w:t>
            </w:r>
            <w:r w:rsidR="00421037">
              <w:rPr>
                <w:rFonts w:ascii="Arial" w:hAnsi="Arial" w:cs="Arial"/>
                <w:sz w:val="20"/>
                <w:szCs w:val="20"/>
              </w:rPr>
              <w:t>continuing resolution (H.J.Res.</w:t>
            </w:r>
            <w:r w:rsidRPr="004A3EBF">
              <w:rPr>
                <w:rFonts w:ascii="Arial" w:hAnsi="Arial" w:cs="Arial"/>
                <w:sz w:val="20"/>
                <w:szCs w:val="20"/>
              </w:rPr>
              <w:t>117) which will serve as a stopgap funding measure for the Federal Government</w:t>
            </w:r>
            <w:proofErr w:type="gramStart"/>
            <w:r w:rsidRPr="004A3EBF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4A3EBF">
              <w:rPr>
                <w:rFonts w:ascii="Arial" w:hAnsi="Arial" w:cs="Arial"/>
                <w:sz w:val="20"/>
                <w:szCs w:val="20"/>
              </w:rPr>
              <w:t>Last week, the U.S. House of Representat</w:t>
            </w:r>
            <w:r>
              <w:rPr>
                <w:rFonts w:ascii="Arial" w:hAnsi="Arial" w:cs="Arial"/>
                <w:sz w:val="20"/>
                <w:szCs w:val="20"/>
              </w:rPr>
              <w:t>ives adopted the same measure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A3EBF">
              <w:rPr>
                <w:rFonts w:ascii="Arial" w:hAnsi="Arial" w:cs="Arial"/>
                <w:sz w:val="20"/>
                <w:szCs w:val="20"/>
              </w:rPr>
              <w:t>The continuing resolution extends, among other federal programs, transportation funding at Federal Fiscal Year 2012 levels for the next six months, through March 27, 2013</w:t>
            </w:r>
            <w:proofErr w:type="gramStart"/>
            <w:r w:rsidRPr="004A3E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A3EBF">
              <w:rPr>
                <w:rFonts w:ascii="Arial" w:hAnsi="Arial" w:cs="Arial"/>
                <w:sz w:val="20"/>
                <w:szCs w:val="20"/>
              </w:rPr>
              <w:t>President Obama has issued a Statement of Administration Policy (SAP</w:t>
            </w:r>
            <w:r>
              <w:rPr>
                <w:rFonts w:ascii="Arial" w:hAnsi="Arial" w:cs="Arial"/>
                <w:sz w:val="20"/>
                <w:szCs w:val="20"/>
              </w:rPr>
              <w:t>) in favor of the legislation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4A3EBF">
              <w:rPr>
                <w:rFonts w:ascii="Arial" w:hAnsi="Arial" w:cs="Arial"/>
                <w:sz w:val="20"/>
                <w:szCs w:val="20"/>
              </w:rPr>
              <w:t xml:space="preserve">For your review, both the continuing </w:t>
            </w:r>
            <w:hyperlink r:id="rId5" w:history="1">
              <w:r w:rsidRPr="00124332">
                <w:rPr>
                  <w:rStyle w:val="Hyperlink"/>
                  <w:rFonts w:ascii="Arial" w:hAnsi="Arial" w:cs="Arial"/>
                  <w:sz w:val="20"/>
                  <w:szCs w:val="20"/>
                </w:rPr>
                <w:t>resolution</w:t>
              </w:r>
            </w:hyperlink>
            <w:r w:rsidRPr="004A3EBF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hyperlink r:id="rId6" w:history="1">
              <w:r w:rsidRPr="00124332">
                <w:rPr>
                  <w:rStyle w:val="Hyperlink"/>
                  <w:rFonts w:ascii="Arial" w:hAnsi="Arial" w:cs="Arial"/>
                  <w:sz w:val="20"/>
                  <w:szCs w:val="20"/>
                </w:rPr>
                <w:t>Statement of Administration Policy</w:t>
              </w:r>
            </w:hyperlink>
            <w:r w:rsidRPr="004A3EBF">
              <w:rPr>
                <w:rFonts w:ascii="Arial" w:hAnsi="Arial" w:cs="Arial"/>
                <w:sz w:val="20"/>
                <w:szCs w:val="20"/>
              </w:rPr>
              <w:t xml:space="preserve"> are attached.</w:t>
            </w:r>
          </w:p>
          <w:p w:rsidR="00124332" w:rsidRDefault="00124332" w:rsidP="004A3EB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124332" w:rsidRPr="00124332" w:rsidRDefault="00124332" w:rsidP="004A3EB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12433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http://www.gpo.gov/fdsys/pkg/BILLS-112hjres117ih/pdf/BILLS-112hjres117ih.pdf</w:t>
              </w:r>
            </w:hyperlink>
          </w:p>
          <w:p w:rsidR="00124332" w:rsidRPr="00124332" w:rsidRDefault="00124332" w:rsidP="004A3EB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E7628" w:rsidRPr="00124332" w:rsidRDefault="00124332" w:rsidP="0098328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2433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</w:t>
              </w:r>
              <w:r w:rsidRPr="00124332">
                <w:rPr>
                  <w:rStyle w:val="Hyperlink"/>
                  <w:rFonts w:ascii="Arial" w:hAnsi="Arial" w:cs="Arial"/>
                  <w:sz w:val="20"/>
                  <w:szCs w:val="20"/>
                </w:rPr>
                <w:t>hitehouse.gov/sites/default/files/omb/legislative/sap/112/saphjr117r_20120912.pdf</w:t>
              </w:r>
            </w:hyperlink>
          </w:p>
          <w:p w:rsidR="00124332" w:rsidRPr="002C0A8E" w:rsidRDefault="00124332" w:rsidP="00983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1F6DFD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76E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E1600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0EA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4EBF"/>
    <w:rsid w:val="00806030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6D10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ites/default/files/omb/legislative/sap/112/saphjr117r_20120912.pdf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BILLS-112hjres117ih/pdf/BILLS-112hjres117ih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sites/default/files/omb/legislative/sap/112/saphjr117r_20120912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gpo.gov/fdsys/pkg/BILLS-112hjres117ih/pdf/BILLS-112hjres117ih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1938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27</cp:revision>
  <cp:lastPrinted>2009-11-13T00:30:00Z</cp:lastPrinted>
  <dcterms:created xsi:type="dcterms:W3CDTF">2012-09-13T23:36:00Z</dcterms:created>
  <dcterms:modified xsi:type="dcterms:W3CDTF">2012-09-22T00:12:00Z</dcterms:modified>
</cp:coreProperties>
</file>