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F0" w:rsidRPr="001D10B8" w:rsidRDefault="00AB24F0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AB24F0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B24F0" w:rsidRPr="00F14240" w:rsidRDefault="00AB24F0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January 22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130122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B24F0" w:rsidRDefault="00AB24F0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A659FE" w:rsidRPr="00A14787" w:rsidRDefault="00A659FE" w:rsidP="00A1478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659FE">
              <w:rPr>
                <w:rFonts w:ascii="Arial" w:hAnsi="Arial" w:cs="Arial"/>
                <w:b/>
                <w:color w:val="000000"/>
                <w:sz w:val="20"/>
                <w:szCs w:val="20"/>
              </w:rPr>
              <w:t>2013 Call for Projects</w:t>
            </w:r>
          </w:p>
        </w:tc>
      </w:tr>
      <w:tr w:rsidR="00AB24F0" w:rsidRPr="00156EE6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659FE" w:rsidRDefault="00A659FE" w:rsidP="00A659FE">
            <w:pPr>
              <w:rPr>
                <w:rFonts w:ascii="ScalaLF-Regular" w:hAnsi="ScalaLF-Regular"/>
                <w:b/>
                <w:color w:val="000000"/>
              </w:rPr>
            </w:pPr>
            <w:bookmarkStart w:id="4" w:name="_GoBack"/>
            <w:bookmarkEnd w:id="4"/>
          </w:p>
          <w:p w:rsidR="00A659FE" w:rsidRPr="00A659FE" w:rsidRDefault="00A659FE" w:rsidP="00A659F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659FE">
              <w:rPr>
                <w:rFonts w:ascii="Arial" w:hAnsi="Arial" w:cs="Arial"/>
                <w:b/>
                <w:color w:val="000000"/>
                <w:sz w:val="20"/>
                <w:szCs w:val="20"/>
              </w:rPr>
              <w:t>2013 Call for Projects</w:t>
            </w:r>
          </w:p>
          <w:p w:rsidR="00A659FE" w:rsidRPr="00A659FE" w:rsidRDefault="00A659FE" w:rsidP="00A65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659FE" w:rsidRPr="00A659FE" w:rsidRDefault="00A659FE" w:rsidP="00A65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59FE">
              <w:rPr>
                <w:rFonts w:ascii="Arial" w:hAnsi="Arial" w:cs="Arial"/>
                <w:color w:val="000000"/>
                <w:sz w:val="20"/>
                <w:szCs w:val="20"/>
              </w:rPr>
              <w:t>Last Friday, January 18,</w:t>
            </w:r>
            <w:r w:rsidR="00A14787">
              <w:rPr>
                <w:rFonts w:ascii="Arial" w:hAnsi="Arial" w:cs="Arial"/>
                <w:color w:val="000000"/>
                <w:sz w:val="20"/>
                <w:szCs w:val="20"/>
              </w:rPr>
              <w:t xml:space="preserve"> 2013</w:t>
            </w:r>
            <w:r w:rsidRPr="00A659FE">
              <w:rPr>
                <w:rFonts w:ascii="Arial" w:hAnsi="Arial" w:cs="Arial"/>
                <w:color w:val="000000"/>
                <w:sz w:val="20"/>
                <w:szCs w:val="20"/>
              </w:rPr>
              <w:t xml:space="preserve"> was the deadline to submit 2013 Call fo</w:t>
            </w:r>
            <w:r w:rsidR="00A14787">
              <w:rPr>
                <w:rFonts w:ascii="Arial" w:hAnsi="Arial" w:cs="Arial"/>
                <w:color w:val="000000"/>
                <w:sz w:val="20"/>
                <w:szCs w:val="20"/>
              </w:rPr>
              <w:t xml:space="preserve">r Projects (Call) applications. </w:t>
            </w:r>
            <w:r w:rsidRPr="00A659FE">
              <w:rPr>
                <w:rFonts w:ascii="Arial" w:hAnsi="Arial" w:cs="Arial"/>
                <w:color w:val="000000"/>
                <w:sz w:val="20"/>
                <w:szCs w:val="20"/>
              </w:rPr>
              <w:t>In total,</w:t>
            </w:r>
            <w:r w:rsidR="00A14787">
              <w:rPr>
                <w:rFonts w:ascii="Arial" w:hAnsi="Arial" w:cs="Arial"/>
                <w:color w:val="000000"/>
                <w:sz w:val="20"/>
                <w:szCs w:val="20"/>
              </w:rPr>
              <w:t xml:space="preserve"> we received 207 applications. </w:t>
            </w:r>
            <w:r w:rsidRPr="00A659FE">
              <w:rPr>
                <w:rFonts w:ascii="Arial" w:hAnsi="Arial" w:cs="Arial"/>
                <w:color w:val="000000"/>
                <w:sz w:val="20"/>
                <w:szCs w:val="20"/>
              </w:rPr>
              <w:t>The preliminary transportation modal category breakdown is as follows:</w:t>
            </w:r>
          </w:p>
          <w:p w:rsidR="00A659FE" w:rsidRPr="00A659FE" w:rsidRDefault="00A659FE" w:rsidP="00A65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656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480"/>
              <w:gridCol w:w="1080"/>
            </w:tblGrid>
            <w:tr w:rsidR="00A659FE" w:rsidRPr="00A659FE" w:rsidTr="00A659FE">
              <w:trPr>
                <w:trHeight w:val="330"/>
              </w:trPr>
              <w:tc>
                <w:tcPr>
                  <w:tcW w:w="54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659FE" w:rsidRPr="00A659FE" w:rsidRDefault="00A659FE" w:rsidP="00156EE6">
                  <w:pPr>
                    <w:ind w:left="-6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659F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Regional Surface Transportation Improvements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659FE" w:rsidRPr="00A659FE" w:rsidRDefault="00A659FE" w:rsidP="00A659FE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659F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</w:tr>
            <w:tr w:rsidR="00A659FE" w:rsidRPr="00A659FE" w:rsidTr="00A659FE">
              <w:trPr>
                <w:trHeight w:val="330"/>
              </w:trPr>
              <w:tc>
                <w:tcPr>
                  <w:tcW w:w="54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659FE" w:rsidRPr="00A659FE" w:rsidRDefault="00A659FE" w:rsidP="00156EE6">
                  <w:pPr>
                    <w:ind w:left="-6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659F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Goods Movement Improvements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659FE" w:rsidRPr="00A659FE" w:rsidRDefault="00A659FE" w:rsidP="00156EE6">
                  <w:pPr>
                    <w:ind w:left="-68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659F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</w:tr>
            <w:tr w:rsidR="00A659FE" w:rsidRPr="00A659FE" w:rsidTr="00A659FE">
              <w:trPr>
                <w:trHeight w:val="330"/>
              </w:trPr>
              <w:tc>
                <w:tcPr>
                  <w:tcW w:w="54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659FE" w:rsidRPr="00A659FE" w:rsidRDefault="00A659FE" w:rsidP="00156EE6">
                  <w:pPr>
                    <w:ind w:left="-6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659F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Signal Synchronization &amp; Bus Speed Improvements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659FE" w:rsidRPr="00A659FE" w:rsidRDefault="00A659FE" w:rsidP="00156EE6">
                  <w:pPr>
                    <w:ind w:left="-68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659F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</w:tr>
            <w:tr w:rsidR="00A659FE" w:rsidRPr="00A659FE" w:rsidTr="00A659FE">
              <w:trPr>
                <w:trHeight w:val="330"/>
              </w:trPr>
              <w:tc>
                <w:tcPr>
                  <w:tcW w:w="54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659FE" w:rsidRPr="00A659FE" w:rsidRDefault="00A659FE" w:rsidP="00156EE6">
                  <w:pPr>
                    <w:ind w:left="-6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659F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Transportation Demand Management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659FE" w:rsidRPr="00A659FE" w:rsidRDefault="00A659FE" w:rsidP="00156EE6">
                  <w:pPr>
                    <w:ind w:left="-68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659F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A659FE" w:rsidRPr="00A659FE" w:rsidTr="00A659FE">
              <w:trPr>
                <w:trHeight w:val="330"/>
              </w:trPr>
              <w:tc>
                <w:tcPr>
                  <w:tcW w:w="54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659FE" w:rsidRPr="00A659FE" w:rsidRDefault="00A659FE" w:rsidP="00156EE6">
                  <w:pPr>
                    <w:ind w:left="-6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659F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Bikeway Improvements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659FE" w:rsidRPr="00A659FE" w:rsidRDefault="00A659FE" w:rsidP="00156EE6">
                  <w:pPr>
                    <w:ind w:left="-68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659F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</w:tr>
            <w:tr w:rsidR="00A659FE" w:rsidRPr="00A659FE" w:rsidTr="00A659FE">
              <w:trPr>
                <w:trHeight w:val="330"/>
              </w:trPr>
              <w:tc>
                <w:tcPr>
                  <w:tcW w:w="54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659FE" w:rsidRPr="00A659FE" w:rsidRDefault="00A659FE" w:rsidP="00156EE6">
                  <w:pPr>
                    <w:ind w:left="-6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659F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Pedestrian Improvements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659FE" w:rsidRPr="00A659FE" w:rsidRDefault="00A659FE" w:rsidP="00156EE6">
                  <w:pPr>
                    <w:ind w:left="-68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659F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</w:tr>
            <w:tr w:rsidR="00A659FE" w:rsidRPr="00A659FE" w:rsidTr="00A659FE">
              <w:trPr>
                <w:trHeight w:val="330"/>
              </w:trPr>
              <w:tc>
                <w:tcPr>
                  <w:tcW w:w="54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659FE" w:rsidRPr="00A659FE" w:rsidRDefault="00A659FE" w:rsidP="00156EE6">
                  <w:pPr>
                    <w:ind w:left="-6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659F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Transit Capital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659FE" w:rsidRPr="00A659FE" w:rsidRDefault="00A659FE" w:rsidP="00156EE6">
                  <w:pPr>
                    <w:ind w:left="-68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659F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</w:tr>
            <w:tr w:rsidR="00A659FE" w:rsidRPr="00A659FE" w:rsidTr="00A659FE">
              <w:trPr>
                <w:trHeight w:val="330"/>
              </w:trPr>
              <w:tc>
                <w:tcPr>
                  <w:tcW w:w="54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659FE" w:rsidRPr="00A659FE" w:rsidRDefault="00A659FE" w:rsidP="00156EE6">
                  <w:pPr>
                    <w:ind w:left="-6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659F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Transportation Enhancement Activities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659FE" w:rsidRPr="00A659FE" w:rsidRDefault="00A659FE" w:rsidP="00156EE6">
                  <w:pPr>
                    <w:ind w:left="-68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659F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</w:tr>
            <w:tr w:rsidR="00A659FE" w:rsidRPr="00A659FE" w:rsidTr="00A659FE">
              <w:trPr>
                <w:trHeight w:val="330"/>
              </w:trPr>
              <w:tc>
                <w:tcPr>
                  <w:tcW w:w="54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659FE" w:rsidRPr="00156EE6" w:rsidRDefault="00A659FE" w:rsidP="00156EE6">
                  <w:pPr>
                    <w:ind w:left="-6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56EE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659FE" w:rsidRPr="00156EE6" w:rsidRDefault="00A659FE" w:rsidP="00156EE6">
                  <w:pPr>
                    <w:ind w:left="-68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56EE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207</w:t>
                  </w:r>
                </w:p>
              </w:tc>
            </w:tr>
          </w:tbl>
          <w:p w:rsidR="00A659FE" w:rsidRPr="00A659FE" w:rsidRDefault="00A659FE" w:rsidP="00A65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B24F0" w:rsidRDefault="00A659FE" w:rsidP="00A147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59FE">
              <w:rPr>
                <w:rFonts w:ascii="Arial" w:hAnsi="Arial" w:cs="Arial"/>
                <w:color w:val="000000"/>
                <w:sz w:val="20"/>
                <w:szCs w:val="20"/>
              </w:rPr>
              <w:t>The number of applications received is slightly higher than that received for the</w:t>
            </w:r>
            <w:r w:rsidR="00A14787">
              <w:rPr>
                <w:rFonts w:ascii="Arial" w:hAnsi="Arial" w:cs="Arial"/>
                <w:color w:val="000000"/>
                <w:sz w:val="20"/>
                <w:szCs w:val="20"/>
              </w:rPr>
              <w:t xml:space="preserve"> 2011 Call (180 applications). </w:t>
            </w:r>
            <w:r w:rsidRPr="00A659FE">
              <w:rPr>
                <w:rFonts w:ascii="Arial" w:hAnsi="Arial" w:cs="Arial"/>
                <w:color w:val="000000"/>
                <w:sz w:val="20"/>
                <w:szCs w:val="20"/>
              </w:rPr>
              <w:t xml:space="preserve">The preliminary funding mark for the 2013 Call </w:t>
            </w:r>
            <w:r w:rsidR="00A14787">
              <w:rPr>
                <w:rFonts w:ascii="Arial" w:hAnsi="Arial" w:cs="Arial"/>
                <w:color w:val="000000"/>
                <w:sz w:val="20"/>
                <w:szCs w:val="20"/>
              </w:rPr>
              <w:t xml:space="preserve">is approximately $200 million. </w:t>
            </w:r>
            <w:r w:rsidRPr="00A659FE">
              <w:rPr>
                <w:rFonts w:ascii="Arial" w:hAnsi="Arial" w:cs="Arial"/>
                <w:color w:val="000000"/>
                <w:sz w:val="20"/>
                <w:szCs w:val="20"/>
              </w:rPr>
              <w:t>In the spring, we will be requesting Board approval of the fund estimate and the individual transportation modal category funding mar</w:t>
            </w:r>
            <w:r w:rsidR="00A14787">
              <w:rPr>
                <w:rFonts w:ascii="Arial" w:hAnsi="Arial" w:cs="Arial"/>
                <w:color w:val="000000"/>
                <w:sz w:val="20"/>
                <w:szCs w:val="20"/>
              </w:rPr>
              <w:t xml:space="preserve">ks for this Call for Projects. </w:t>
            </w:r>
            <w:r w:rsidRPr="00A659FE">
              <w:rPr>
                <w:rFonts w:ascii="Arial" w:hAnsi="Arial" w:cs="Arial"/>
                <w:color w:val="000000"/>
                <w:sz w:val="20"/>
                <w:szCs w:val="20"/>
              </w:rPr>
              <w:t>Preliminary project and funding recommendations are expected to be released in June, with Board approval for the 2013 Call for Projects in September.</w:t>
            </w:r>
          </w:p>
          <w:p w:rsidR="00A14787" w:rsidRPr="00A14787" w:rsidRDefault="00A14787" w:rsidP="00A147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24F0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B24F0" w:rsidRPr="006D4268" w:rsidRDefault="006720E0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="00AB24F0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B24F0"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="00AB24F0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B24F0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B24F0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B24F0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B24F0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B24F0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B24F0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B24F0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B24F0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B24F0" w:rsidRPr="006D4268" w:rsidRDefault="00AB24F0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B24F0" w:rsidRPr="006D4268" w:rsidRDefault="00AB24F0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B24F0" w:rsidRPr="006D4268" w:rsidRDefault="00AB24F0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AB24F0" w:rsidRPr="006D4268" w:rsidRDefault="00AB24F0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B24F0" w:rsidRPr="00661500" w:rsidRDefault="00AB24F0">
      <w:pPr>
        <w:rPr>
          <w:rFonts w:ascii="Arial" w:hAnsi="Arial" w:cs="Arial"/>
          <w:sz w:val="20"/>
          <w:szCs w:val="20"/>
        </w:rPr>
      </w:pPr>
    </w:p>
    <w:sectPr w:rsidR="00AB24F0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56EE6"/>
    <w:rsid w:val="00167E92"/>
    <w:rsid w:val="00171EC7"/>
    <w:rsid w:val="00173C25"/>
    <w:rsid w:val="00174224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0E0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29F6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787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59FE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4F0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062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949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9321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278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  <w:divsChild>
                            <w:div w:id="79832957">
                              <w:blockQuote w:val="1"/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8" w:space="11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3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05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3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5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0883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3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3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3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195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3</cp:revision>
  <cp:lastPrinted>2009-11-13T00:30:00Z</cp:lastPrinted>
  <dcterms:created xsi:type="dcterms:W3CDTF">2012-07-18T20:15:00Z</dcterms:created>
  <dcterms:modified xsi:type="dcterms:W3CDTF">2013-01-23T01:23:00Z</dcterms:modified>
</cp:coreProperties>
</file>